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8D" w:rsidRPr="00E6018D" w:rsidRDefault="00E6018D" w:rsidP="00E6018D">
      <w:pPr>
        <w:jc w:val="center"/>
        <w:rPr>
          <w:b/>
          <w:sz w:val="28"/>
          <w:szCs w:val="28"/>
          <w:lang w:val="uk-UA" w:eastAsia="ru-RU"/>
        </w:rPr>
      </w:pPr>
      <w:r w:rsidRPr="00E6018D">
        <w:rPr>
          <w:b/>
          <w:sz w:val="28"/>
          <w:szCs w:val="28"/>
          <w:lang w:val="uk-UA" w:eastAsia="ru-RU"/>
        </w:rPr>
        <w:t>Повідомлення про проведення перевірок згідно із Законом України “Про очищення влади”</w:t>
      </w:r>
    </w:p>
    <w:p w:rsidR="00E6018D" w:rsidRPr="00E6018D" w:rsidRDefault="00E6018D" w:rsidP="00E6018D">
      <w:pPr>
        <w:rPr>
          <w:lang w:val="uk-UA" w:eastAsia="ru-RU"/>
        </w:rPr>
      </w:pPr>
      <w:r w:rsidRPr="00E6018D">
        <w:rPr>
          <w:lang w:val="uk-UA" w:eastAsia="ru-RU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влади».</w:t>
      </w:r>
    </w:p>
    <w:p w:rsidR="00E6018D" w:rsidRPr="00E6018D" w:rsidRDefault="00E6018D" w:rsidP="00E6018D">
      <w:pPr>
        <w:rPr>
          <w:lang w:val="uk-UA" w:eastAsia="ru-RU"/>
        </w:rPr>
      </w:pPr>
      <w:r w:rsidRPr="00E6018D">
        <w:rPr>
          <w:lang w:val="uk-UA" w:eastAsia="ru-RU"/>
        </w:rPr>
        <w:t>Порядок проведення такої перевірки та перелік органів, що її проводять, затверджено постановою Кабінету Міністрів України від 16 жовтня № 563 «Деякі питання реалізації Закону України «Про очищення влади».</w:t>
      </w:r>
    </w:p>
    <w:p w:rsidR="00E6018D" w:rsidRDefault="00E6018D" w:rsidP="00E6018D">
      <w:pPr>
        <w:rPr>
          <w:lang w:val="uk-UA" w:eastAsia="ru-RU"/>
        </w:rPr>
      </w:pPr>
      <w:r w:rsidRPr="00E6018D">
        <w:rPr>
          <w:lang w:val="uk-UA" w:eastAsia="ru-RU"/>
        </w:rPr>
        <w:t>На виконання вимог Закону України «Про очищення влади» управління культури і мистецтв облдержадміністрації інформує про те, що розпочато перевірку стосовно: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2658"/>
        <w:gridCol w:w="1687"/>
        <w:gridCol w:w="2481"/>
      </w:tblGrid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П.І.Б</w:t>
            </w:r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Посада</w:t>
            </w:r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Дата початку </w:t>
            </w: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перев</w:t>
            </w:r>
            <w:proofErr w:type="gram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ірки</w:t>
            </w:r>
            <w:proofErr w:type="spellEnd"/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Інформація</w:t>
            </w:r>
            <w:proofErr w:type="spell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про </w:t>
            </w: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результати</w:t>
            </w:r>
            <w:proofErr w:type="spell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перев</w:t>
            </w:r>
            <w:proofErr w:type="gram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ірки</w:t>
            </w:r>
            <w:proofErr w:type="spellEnd"/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Троян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Валентина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Геннадіївна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5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6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заступник начальника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упр</w:t>
            </w:r>
            <w:bookmarkStart w:id="0" w:name="_GoBack"/>
            <w:bookmarkEnd w:id="0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авління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7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19.04.2016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Св</w:t>
            </w:r>
            <w:proofErr w:type="gram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іргун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Зінаїда</w:t>
            </w:r>
            <w:proofErr w:type="spellEnd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італіївна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8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9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бухгалтер</w:t>
            </w:r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0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19.04.2016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Побережник</w:t>
            </w:r>
            <w:proofErr w:type="spell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Каращенко</w:t>
            </w:r>
            <w:proofErr w:type="spellEnd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Леся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Володимирівна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1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12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заступник начальника</w:t>
            </w:r>
          </w:p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10.07.2015р.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3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10.09.2015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Красилюк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Федорівна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4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15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заступник начальника</w:t>
            </w:r>
          </w:p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6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10.09.2015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Потупчик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Михайло Валентинович</w:t>
            </w:r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7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18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завідуючий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сектором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охорони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культурної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спадщини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19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19.04.2016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Зелінська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Ольга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Георгіївна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0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21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24.11.2015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2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17.11.2015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Жабська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Лілія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Валентинівна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3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24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5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17.11.2015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Пасека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6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27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8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26.04.2017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Козерацька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Наталія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Борисівна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29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30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сектору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охорони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культурної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спадщини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1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26.04.2017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Максименко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Катерина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2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33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кадрової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4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17.11.2015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Семеняко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Сергій</w:t>
            </w:r>
            <w:proofErr w:type="spellEnd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італійович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5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36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кадрової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06.10.2015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7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29.12.2015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Бойко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Валентинівна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38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39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0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26.04.2017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Корлюга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Тетяна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Леонідівна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1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42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пров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ідний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спеціаліст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27.07.2015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3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26.04.2017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lastRenderedPageBreak/>
              <w:t>Левицька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Ірина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4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45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роботи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навчальних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закладів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розвитку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професійного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мистецтва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10.04.2017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6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16.05.2017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Шевчук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Оксана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Дмитрівна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7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48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пров</w:t>
            </w:r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ідний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спеціаліст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бухгалтерського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обліку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планування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26.05.2017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Сентемон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Наталія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Альфредівна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49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50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розвитку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креативних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індустрій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51" w:history="1"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13.09.2019</w:t>
              </w:r>
            </w:hyperlink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Мільченко</w:t>
            </w:r>
            <w:proofErr w:type="spellEnd"/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Тетяна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Петрівна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52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53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відділу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09.02.2018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 </w:t>
            </w:r>
          </w:p>
        </w:tc>
      </w:tr>
      <w:tr w:rsidR="00E6018D" w:rsidRPr="00E6018D" w:rsidTr="00E6018D">
        <w:trPr>
          <w:tblCellSpacing w:w="7" w:type="dxa"/>
        </w:trPr>
        <w:tc>
          <w:tcPr>
            <w:tcW w:w="2608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b/>
                <w:bCs/>
                <w:color w:val="111111"/>
                <w:sz w:val="21"/>
                <w:szCs w:val="21"/>
                <w:lang w:eastAsia="ru-RU"/>
              </w:rPr>
              <w:t>Смоленцева</w:t>
            </w:r>
          </w:p>
          <w:p w:rsidR="00E6018D" w:rsidRPr="00E6018D" w:rsidRDefault="00E6018D" w:rsidP="00E6018D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Галина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Анатоліївна</w:t>
            </w:r>
            <w:proofErr w:type="spellEnd"/>
          </w:p>
          <w:p w:rsidR="00E6018D" w:rsidRPr="00E6018D" w:rsidRDefault="00E6018D" w:rsidP="00E6018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hyperlink r:id="rId54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Заява</w:t>
              </w:r>
              <w:proofErr w:type="spellEnd"/>
            </w:hyperlink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br/>
            </w:r>
            <w:hyperlink r:id="rId55" w:history="1">
              <w:proofErr w:type="spellStart"/>
              <w:r w:rsidRPr="00E6018D">
                <w:rPr>
                  <w:rFonts w:ascii="inherit" w:eastAsia="Times New Roman" w:hAnsi="inherit" w:cs="Arial"/>
                  <w:color w:val="CA4306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Декларація</w:t>
              </w:r>
              <w:proofErr w:type="spellEnd"/>
            </w:hyperlink>
          </w:p>
        </w:tc>
        <w:tc>
          <w:tcPr>
            <w:tcW w:w="2644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головний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спеціалі</w:t>
            </w:r>
            <w:proofErr w:type="gram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ст</w:t>
            </w:r>
            <w:proofErr w:type="spellEnd"/>
            <w:proofErr w:type="gram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питань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культурно-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мистецьких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установ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розвитку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професійного</w:t>
            </w:r>
            <w:proofErr w:type="spellEnd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мистецтва</w:t>
            </w:r>
            <w:proofErr w:type="spellEnd"/>
          </w:p>
        </w:tc>
        <w:tc>
          <w:tcPr>
            <w:tcW w:w="1673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  <w:r w:rsidRPr="00E6018D"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  <w:t>29.08.2019</w:t>
            </w:r>
          </w:p>
        </w:tc>
        <w:tc>
          <w:tcPr>
            <w:tcW w:w="2460" w:type="dxa"/>
            <w:shd w:val="clear" w:color="auto" w:fill="FCF4E4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E6018D" w:rsidRPr="00E6018D" w:rsidRDefault="00E6018D" w:rsidP="00E6018D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E6018D" w:rsidRPr="00E6018D" w:rsidRDefault="00E6018D">
      <w:pPr>
        <w:rPr>
          <w:lang w:val="uk-UA"/>
        </w:rPr>
      </w:pPr>
    </w:p>
    <w:sectPr w:rsidR="00E6018D" w:rsidRPr="00E6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36"/>
    <w:rsid w:val="00956255"/>
    <w:rsid w:val="00E6018D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8D"/>
    <w:rPr>
      <w:b/>
      <w:bCs/>
    </w:rPr>
  </w:style>
  <w:style w:type="character" w:styleId="a5">
    <w:name w:val="Hyperlink"/>
    <w:basedOn w:val="a0"/>
    <w:uiPriority w:val="99"/>
    <w:semiHidden/>
    <w:unhideWhenUsed/>
    <w:rsid w:val="00E60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8D"/>
    <w:rPr>
      <w:b/>
      <w:bCs/>
    </w:rPr>
  </w:style>
  <w:style w:type="character" w:styleId="a5">
    <w:name w:val="Hyperlink"/>
    <w:basedOn w:val="a0"/>
    <w:uiPriority w:val="99"/>
    <w:semiHidden/>
    <w:unhideWhenUsed/>
    <w:rsid w:val="00E60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ncult.gov.ua/wp-content/uploads/2017/04/%D0%9F%D0%BE%D0%B1%D0%B5%D1%80%D0%B5%D0%B6%D0%BD%D0%B8%D0%BA_10.09.2015.doc" TargetMode="External"/><Relationship Id="rId18" Type="http://schemas.openxmlformats.org/officeDocument/2006/relationships/hyperlink" Target="https://vincult.gov.ua/wp-content/uploads/2017/05/Zelinska_d.pdf" TargetMode="External"/><Relationship Id="rId26" Type="http://schemas.openxmlformats.org/officeDocument/2006/relationships/hyperlink" Target="https://vincult.gov.ua/wp-content/uploads/2017/05/Paseka_z.pdf" TargetMode="External"/><Relationship Id="rId39" Type="http://schemas.openxmlformats.org/officeDocument/2006/relationships/hyperlink" Target="https://vincult.gov.ua/wp-content/uploads/2017/05/Boyko_d.pdf" TargetMode="External"/><Relationship Id="rId21" Type="http://schemas.openxmlformats.org/officeDocument/2006/relationships/hyperlink" Target="https://vincult.gov.ua/wp-content/uploads/2017/05/Zelinska_d.pdf" TargetMode="External"/><Relationship Id="rId34" Type="http://schemas.openxmlformats.org/officeDocument/2006/relationships/hyperlink" Target="https://vincult.gov.ua/wp-content/uploads/2017/04/%D0%9C%D0%B0%D0%BA%D1%81%D0%B8%D0%BC%D0%B5%D0%BD%D0%BA%D0%BE.doc" TargetMode="External"/><Relationship Id="rId42" Type="http://schemas.openxmlformats.org/officeDocument/2006/relationships/hyperlink" Target="https://vincult.gov.ua/wp-content/uploads/2017/05/rorluga_d.pdf" TargetMode="External"/><Relationship Id="rId47" Type="http://schemas.openxmlformats.org/officeDocument/2006/relationships/hyperlink" Target="https://vincult.gov.ua/wp-content/uploads/2017/05/Zayava-Shevchuk.pdf" TargetMode="External"/><Relationship Id="rId50" Type="http://schemas.openxmlformats.org/officeDocument/2006/relationships/hyperlink" Target="https://declarations.com.ua/declaration/nacp_d494ac8f-fefe-4aae-bfeb-26fdd55c701e" TargetMode="External"/><Relationship Id="rId55" Type="http://schemas.openxmlformats.org/officeDocument/2006/relationships/hyperlink" Target="https://public.nazk.gov.ua/declaration/50a7b183-3e1c-4af8-8118-7dd3e6ee4dc3" TargetMode="External"/><Relationship Id="rId7" Type="http://schemas.openxmlformats.org/officeDocument/2006/relationships/hyperlink" Target="https://vincult.gov.ua/wp-content/uploads/2017/05/troyan_19.04.2016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ncult.gov.ua/wp-content/uploads/2017/04/%D0%9A%D1%80%D0%B0%D1%81%D0%B8%D0%BB%D1%8E%D0%BA_10.09.2015.doc" TargetMode="External"/><Relationship Id="rId29" Type="http://schemas.openxmlformats.org/officeDocument/2006/relationships/hyperlink" Target="https://vincult.gov.ua/wp-content/uploads/2017/05/Kozeratska_z.pdf" TargetMode="External"/><Relationship Id="rId11" Type="http://schemas.openxmlformats.org/officeDocument/2006/relationships/hyperlink" Target="https://vincult.gov.ua/wp-content/uploads/2017/05/poberegnuk_z.pdf" TargetMode="External"/><Relationship Id="rId24" Type="http://schemas.openxmlformats.org/officeDocument/2006/relationships/hyperlink" Target="https://vincult.gov.ua/wp-content/uploads/2017/05/shabska_z.pdf" TargetMode="External"/><Relationship Id="rId32" Type="http://schemas.openxmlformats.org/officeDocument/2006/relationships/hyperlink" Target="https://vincult.gov.ua/wp-content/uploads/2017/05/maksimenko.pdf" TargetMode="External"/><Relationship Id="rId37" Type="http://schemas.openxmlformats.org/officeDocument/2006/relationships/hyperlink" Target="https://vincult.gov.ua/wp-content/uploads/2017/04/%D0%A1%D0%B5%D0%BC%D0%B5%D0%BD%D1%8F%D0%BA%D0%BE.doc" TargetMode="External"/><Relationship Id="rId40" Type="http://schemas.openxmlformats.org/officeDocument/2006/relationships/hyperlink" Target="https://vincult.gov.ua/wp-content/uploads/2017/05/Boyko.doc" TargetMode="External"/><Relationship Id="rId45" Type="http://schemas.openxmlformats.org/officeDocument/2006/relationships/hyperlink" Target="https://public.nazk.gov.ua/declaration/93a06fd9-3c39-4aa2-980e-cf27d631e653" TargetMode="External"/><Relationship Id="rId53" Type="http://schemas.openxmlformats.org/officeDocument/2006/relationships/hyperlink" Target="https://public.nazk.gov.ua/declaration/284f56a9-af2a-474d-b0fb-dc4d649966eb" TargetMode="External"/><Relationship Id="rId5" Type="http://schemas.openxmlformats.org/officeDocument/2006/relationships/hyperlink" Target="https://vincult.gov.ua/wp-content/uploads/2017/05/troyan_z.pdf" TargetMode="External"/><Relationship Id="rId19" Type="http://schemas.openxmlformats.org/officeDocument/2006/relationships/hyperlink" Target="https://vincult.gov.ua/wp-content/uploads/2017/04/%D0%9F%D0%BE%D1%82%D1%83%D0%BF%D1%87%D0%B8%D0%BA_19.04.201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ncult.gov.ua/wp-content/uploads/2017/05/svirgun_d.pdf" TargetMode="External"/><Relationship Id="rId14" Type="http://schemas.openxmlformats.org/officeDocument/2006/relationships/hyperlink" Target="https://vincult.gov.ua/wp-content/uploads/2017/05/Krasulak_z.pdf" TargetMode="External"/><Relationship Id="rId22" Type="http://schemas.openxmlformats.org/officeDocument/2006/relationships/hyperlink" Target="https://vincult.gov.ua/wp-content/uploads/2017/05/zelinska.doc" TargetMode="External"/><Relationship Id="rId27" Type="http://schemas.openxmlformats.org/officeDocument/2006/relationships/hyperlink" Target="https://vincult.gov.ua/wp-content/uploads/2017/05/Paseka_d.pdf" TargetMode="External"/><Relationship Id="rId30" Type="http://schemas.openxmlformats.org/officeDocument/2006/relationships/hyperlink" Target="https://vincult.gov.ua/wp-content/uploads/2017/05/kozeratra_d.pdf" TargetMode="External"/><Relationship Id="rId35" Type="http://schemas.openxmlformats.org/officeDocument/2006/relationships/hyperlink" Target="https://vincult.gov.ua/wp-content/uploads/2017/05/Semenako.pdf" TargetMode="External"/><Relationship Id="rId43" Type="http://schemas.openxmlformats.org/officeDocument/2006/relationships/hyperlink" Target="https://vincult.gov.ua/wp-content/uploads/2017/05/korluga.doc" TargetMode="External"/><Relationship Id="rId48" Type="http://schemas.openxmlformats.org/officeDocument/2006/relationships/hyperlink" Target="https://public.nazk.gov.ua/declaration/58be037d-9468-4e79-a1ba-476e95bbfa1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incult.gov.ua/wp-content/uploads/2017/05/svirgun_z.pdf" TargetMode="External"/><Relationship Id="rId51" Type="http://schemas.openxmlformats.org/officeDocument/2006/relationships/hyperlink" Target="https://vincult.gov.ua/wp-content/uploads/2019/09/13.09.2019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ncult.gov.ua/wp-content/uploads/2017/05/Poberegnik_d.pdf" TargetMode="External"/><Relationship Id="rId17" Type="http://schemas.openxmlformats.org/officeDocument/2006/relationships/hyperlink" Target="https://vincult.gov.ua/wp-content/uploads/2017/05/Potupchic_z.pdf" TargetMode="External"/><Relationship Id="rId25" Type="http://schemas.openxmlformats.org/officeDocument/2006/relationships/hyperlink" Target="https://vincult.gov.ua/wp-content/uploads/2017/04/%D0%96%D0%B0%D0%B1%D1%81_%D0%BA%D0%B0_06.11.2015.doc" TargetMode="External"/><Relationship Id="rId33" Type="http://schemas.openxmlformats.org/officeDocument/2006/relationships/hyperlink" Target="https://vincult.gov.ua/wp-content/uploads/2017/05/macsimenco_d.pdf" TargetMode="External"/><Relationship Id="rId38" Type="http://schemas.openxmlformats.org/officeDocument/2006/relationships/hyperlink" Target="https://vincult.gov.ua/wp-content/uploads/2017/05/boyko.pdf" TargetMode="External"/><Relationship Id="rId46" Type="http://schemas.openxmlformats.org/officeDocument/2006/relationships/hyperlink" Target="https://vincult.gov.ua/wp-content/uploads/2017/05/lev-itska-rez.doc" TargetMode="External"/><Relationship Id="rId20" Type="http://schemas.openxmlformats.org/officeDocument/2006/relationships/hyperlink" Target="https://vincult.gov.ua/wp-content/uploads/2017/05/zelin.pdf" TargetMode="External"/><Relationship Id="rId41" Type="http://schemas.openxmlformats.org/officeDocument/2006/relationships/hyperlink" Target="https://vincult.gov.ua/wp-content/uploads/2017/05/korluga.pdf" TargetMode="External"/><Relationship Id="rId54" Type="http://schemas.openxmlformats.org/officeDocument/2006/relationships/hyperlink" Target="https://vincult.gov.ua/wp-content/uploads/2019/09/%D0%97%D0%90%D0%AF%D0%92%D0%9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incult.gov.ua/wp-content/uploads/2017/05/troyan_d.pdf" TargetMode="External"/><Relationship Id="rId15" Type="http://schemas.openxmlformats.org/officeDocument/2006/relationships/hyperlink" Target="https://vincult.gov.ua/wp-content/uploads/2017/05/Krasulak_d.pdf" TargetMode="External"/><Relationship Id="rId23" Type="http://schemas.openxmlformats.org/officeDocument/2006/relationships/hyperlink" Target="https://vincult.gov.ua/wp-content/uploads/2017/05/shabska_z.pdf" TargetMode="External"/><Relationship Id="rId28" Type="http://schemas.openxmlformats.org/officeDocument/2006/relationships/hyperlink" Target="https://vincult.gov.ua/wp-content/uploads/2017/05/paseka.doc" TargetMode="External"/><Relationship Id="rId36" Type="http://schemas.openxmlformats.org/officeDocument/2006/relationships/hyperlink" Target="https://vincult.gov.ua/wp-content/uploads/2017/05/semenako-2.pdf" TargetMode="External"/><Relationship Id="rId49" Type="http://schemas.openxmlformats.org/officeDocument/2006/relationships/hyperlink" Target="https://vincult.gov.ua/wp-content/uploads/2017/05/%D0%B7%D0%B0%D1%8F%D0%B2%D0%B0.jp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incult.gov.ua/wp-content/uploads/2017/05/svirgun_d.pdf" TargetMode="External"/><Relationship Id="rId31" Type="http://schemas.openxmlformats.org/officeDocument/2006/relationships/hyperlink" Target="https://vincult.gov.ua/wp-content/uploads/2017/05/kozeratska.doc" TargetMode="External"/><Relationship Id="rId44" Type="http://schemas.openxmlformats.org/officeDocument/2006/relationships/hyperlink" Target="https://vincult.gov.ua/wp-content/uploads/2017/05/korluga.pdf" TargetMode="External"/><Relationship Id="rId52" Type="http://schemas.openxmlformats.org/officeDocument/2006/relationships/hyperlink" Target="https://vincult.gov.ua/wp-content/uploads/2018/02/Zayava_Milchenk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Назаренко</dc:creator>
  <cp:keywords/>
  <dc:description/>
  <cp:lastModifiedBy>Майя Назаренко</cp:lastModifiedBy>
  <cp:revision>2</cp:revision>
  <dcterms:created xsi:type="dcterms:W3CDTF">2021-01-25T14:26:00Z</dcterms:created>
  <dcterms:modified xsi:type="dcterms:W3CDTF">2021-01-25T14:28:00Z</dcterms:modified>
</cp:coreProperties>
</file>